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0" w:line="269" w:lineRule="auto"/>
        <w:jc w:val="center"/>
      </w:pPr>
      <w:r>
        <w:rPr>
          <w:rFonts w:ascii="Arial" w:hAnsi="Arial"/>
          <w:b/>
          <w:color w:val="66D9FF"/>
          <w:sz w:val="22"/>
        </w:rPr>
        <w:t>SALAAMTABISH</w:t>
      </w:r>
    </w:p>
    <w:p>
      <w:pPr>
        <w:spacing w:after="100" w:line="269" w:lineRule="auto"/>
        <w:jc w:val="center"/>
      </w:pPr>
      <w:r>
        <w:rPr>
          <w:rFonts w:ascii="Arial" w:hAnsi="Arial"/>
          <w:b/>
          <w:color w:val="0321D1"/>
          <w:sz w:val="54"/>
        </w:rPr>
        <w:t>THE DECIDE DASHBOARD TEST™</w:t>
      </w:r>
    </w:p>
    <w:p>
      <w:pPr>
        <w:spacing w:after="440" w:line="269" w:lineRule="auto"/>
        <w:jc w:val="center"/>
      </w:pPr>
      <w:r>
        <w:rPr>
          <w:rFonts w:ascii="Arial" w:hAnsi="Arial"/>
          <w:b w:val="0"/>
          <w:color w:val="53628B"/>
          <w:sz w:val="26"/>
        </w:rPr>
        <w:t>A practical checklist for turning workforce data into accountable action</w:t>
      </w:r>
    </w:p>
    <w:p>
      <w:pPr>
        <w:spacing w:after="400" w:line="269" w:lineRule="auto"/>
      </w:pPr>
      <w:r>
        <w:rPr>
          <w:rFonts w:ascii="Arial" w:hAnsi="Arial"/>
          <w:b/>
          <w:color w:val="010D5A"/>
          <w:sz w:val="26"/>
        </w:rPr>
        <w:t>A dashboard is not complete when the analysis ends. It is complete when a responsible decision begins.</w:t>
      </w:r>
    </w:p>
    <w:p>
      <w:pPr>
        <w:spacing w:after="40"/>
      </w:pPr>
      <w:r>
        <w:rPr>
          <w:rFonts w:ascii="Arial" w:hAnsi="Arial"/>
          <w:b/>
          <w:color w:val="66D9FF"/>
          <w:sz w:val="36"/>
        </w:rPr>
        <w:t xml:space="preserve">D  </w:t>
      </w:r>
      <w:r>
        <w:rPr>
          <w:rFonts w:ascii="Arial" w:hAnsi="Arial"/>
          <w:b/>
          <w:color w:val="0321D1"/>
          <w:sz w:val="26"/>
        </w:rPr>
        <w:t xml:space="preserve">DEFINE  </w:t>
      </w:r>
      <w:r>
        <w:rPr>
          <w:rFonts w:ascii="Arial" w:hAnsi="Arial"/>
          <w:b/>
          <w:color w:val="010D5A"/>
          <w:sz w:val="22"/>
        </w:rPr>
        <w:t>What decision must be made?</w:t>
      </w:r>
    </w:p>
    <w:p>
      <w:pPr>
        <w:spacing w:after="160" w:line="269" w:lineRule="auto"/>
      </w:pPr>
      <w:r>
        <w:rPr>
          <w:rFonts w:ascii="Arial" w:hAnsi="Arial"/>
          <w:b w:val="0"/>
          <w:color w:val="53628B"/>
          <w:sz w:val="20"/>
        </w:rPr>
        <w:t>State the decision, decision-maker and deadline before opening the dashboard.</w:t>
      </w:r>
    </w:p>
    <w:p>
      <w:pPr>
        <w:spacing w:after="40"/>
      </w:pPr>
      <w:r>
        <w:rPr>
          <w:rFonts w:ascii="Arial" w:hAnsi="Arial"/>
          <w:b/>
          <w:color w:val="66D9FF"/>
          <w:sz w:val="36"/>
        </w:rPr>
        <w:t xml:space="preserve">E  </w:t>
      </w:r>
      <w:r>
        <w:rPr>
          <w:rFonts w:ascii="Arial" w:hAnsi="Arial"/>
          <w:b/>
          <w:color w:val="0321D1"/>
          <w:sz w:val="26"/>
        </w:rPr>
        <w:t xml:space="preserve">EXAMINE  </w:t>
      </w:r>
      <w:r>
        <w:rPr>
          <w:rFonts w:ascii="Arial" w:hAnsi="Arial"/>
          <w:b/>
          <w:color w:val="010D5A"/>
          <w:sz w:val="22"/>
        </w:rPr>
        <w:t>Is the evidence reliable?</w:t>
      </w:r>
    </w:p>
    <w:p>
      <w:pPr>
        <w:spacing w:after="160" w:line="269" w:lineRule="auto"/>
      </w:pPr>
      <w:r>
        <w:rPr>
          <w:rFonts w:ascii="Arial" w:hAnsi="Arial"/>
          <w:b w:val="0"/>
          <w:color w:val="53628B"/>
          <w:sz w:val="20"/>
        </w:rPr>
        <w:t>Check data definitions, time period, completeness and relevant comparison points.</w:t>
      </w:r>
    </w:p>
    <w:p>
      <w:pPr>
        <w:spacing w:after="40"/>
      </w:pPr>
      <w:r>
        <w:rPr>
          <w:rFonts w:ascii="Arial" w:hAnsi="Arial"/>
          <w:b/>
          <w:color w:val="66D9FF"/>
          <w:sz w:val="36"/>
        </w:rPr>
        <w:t xml:space="preserve">C  </w:t>
      </w:r>
      <w:r>
        <w:rPr>
          <w:rFonts w:ascii="Arial" w:hAnsi="Arial"/>
          <w:b/>
          <w:color w:val="0321D1"/>
          <w:sz w:val="26"/>
        </w:rPr>
        <w:t xml:space="preserve">COMPARE  </w:t>
      </w:r>
      <w:r>
        <w:rPr>
          <w:rFonts w:ascii="Arial" w:hAnsi="Arial"/>
          <w:b/>
          <w:color w:val="010D5A"/>
          <w:sz w:val="22"/>
        </w:rPr>
        <w:t>Where is the difference?</w:t>
      </w:r>
    </w:p>
    <w:p>
      <w:pPr>
        <w:spacing w:after="160" w:line="269" w:lineRule="auto"/>
      </w:pPr>
      <w:r>
        <w:rPr>
          <w:rFonts w:ascii="Arial" w:hAnsi="Arial"/>
          <w:b w:val="0"/>
          <w:color w:val="53628B"/>
          <w:sz w:val="20"/>
        </w:rPr>
        <w:t>Segment by business line, grade, talent group, location or employee population.</w:t>
      </w:r>
    </w:p>
    <w:p>
      <w:pPr>
        <w:spacing w:after="40"/>
      </w:pPr>
      <w:r>
        <w:rPr>
          <w:rFonts w:ascii="Arial" w:hAnsi="Arial"/>
          <w:b/>
          <w:color w:val="66D9FF"/>
          <w:sz w:val="36"/>
        </w:rPr>
        <w:t xml:space="preserve">I  </w:t>
      </w:r>
      <w:r>
        <w:rPr>
          <w:rFonts w:ascii="Arial" w:hAnsi="Arial"/>
          <w:b/>
          <w:color w:val="0321D1"/>
          <w:sz w:val="26"/>
        </w:rPr>
        <w:t xml:space="preserve">INTERPRET  </w:t>
      </w:r>
      <w:r>
        <w:rPr>
          <w:rFonts w:ascii="Arial" w:hAnsi="Arial"/>
          <w:b/>
          <w:color w:val="010D5A"/>
          <w:sz w:val="22"/>
        </w:rPr>
        <w:t>What is driving the pattern?</w:t>
      </w:r>
    </w:p>
    <w:p>
      <w:pPr>
        <w:spacing w:after="160" w:line="269" w:lineRule="auto"/>
      </w:pPr>
      <w:r>
        <w:rPr>
          <w:rFonts w:ascii="Arial" w:hAnsi="Arial"/>
          <w:b w:val="0"/>
          <w:color w:val="53628B"/>
          <w:sz w:val="20"/>
        </w:rPr>
        <w:t>Separate symptoms from drivers and identify what needs further validation.</w:t>
      </w:r>
    </w:p>
    <w:p>
      <w:pPr>
        <w:spacing w:after="40"/>
      </w:pPr>
      <w:r>
        <w:rPr>
          <w:rFonts w:ascii="Arial" w:hAnsi="Arial"/>
          <w:b/>
          <w:color w:val="66D9FF"/>
          <w:sz w:val="36"/>
        </w:rPr>
        <w:t xml:space="preserve">D  </w:t>
      </w:r>
      <w:r>
        <w:rPr>
          <w:rFonts w:ascii="Arial" w:hAnsi="Arial"/>
          <w:b/>
          <w:color w:val="0321D1"/>
          <w:sz w:val="26"/>
        </w:rPr>
        <w:t xml:space="preserve">DECIDE  </w:t>
      </w:r>
      <w:r>
        <w:rPr>
          <w:rFonts w:ascii="Arial" w:hAnsi="Arial"/>
          <w:b/>
          <w:color w:val="010D5A"/>
          <w:sz w:val="22"/>
        </w:rPr>
        <w:t>What are the options and trade-offs?</w:t>
      </w:r>
    </w:p>
    <w:p>
      <w:pPr>
        <w:spacing w:after="160" w:line="269" w:lineRule="auto"/>
      </w:pPr>
      <w:r>
        <w:rPr>
          <w:rFonts w:ascii="Arial" w:hAnsi="Arial"/>
          <w:b w:val="0"/>
          <w:color w:val="53628B"/>
          <w:sz w:val="20"/>
        </w:rPr>
        <w:t>Show viable actions, cost, risks and expected impact—not simply one number.</w:t>
      </w:r>
    </w:p>
    <w:p>
      <w:pPr>
        <w:spacing w:after="40"/>
      </w:pPr>
      <w:r>
        <w:rPr>
          <w:rFonts w:ascii="Arial" w:hAnsi="Arial"/>
          <w:b/>
          <w:color w:val="66D9FF"/>
          <w:sz w:val="36"/>
        </w:rPr>
        <w:t xml:space="preserve">E  </w:t>
      </w:r>
      <w:r>
        <w:rPr>
          <w:rFonts w:ascii="Arial" w:hAnsi="Arial"/>
          <w:b/>
          <w:color w:val="0321D1"/>
          <w:sz w:val="26"/>
        </w:rPr>
        <w:t xml:space="preserve">EXECUTE  </w:t>
      </w:r>
      <w:r>
        <w:rPr>
          <w:rFonts w:ascii="Arial" w:hAnsi="Arial"/>
          <w:b/>
          <w:color w:val="010D5A"/>
          <w:sz w:val="22"/>
        </w:rPr>
        <w:t>Who owns the next action?</w:t>
      </w:r>
    </w:p>
    <w:p>
      <w:pPr>
        <w:spacing w:after="160" w:line="269" w:lineRule="auto"/>
      </w:pPr>
      <w:r>
        <w:rPr>
          <w:rFonts w:ascii="Arial" w:hAnsi="Arial"/>
          <w:b w:val="0"/>
          <w:color w:val="53628B"/>
          <w:sz w:val="20"/>
        </w:rPr>
        <w:t>Name the owner, action date, measure of success and review point.</w:t>
      </w:r>
    </w:p>
    <w:p>
      <w:pPr>
        <w:spacing w:after="160" w:line="269" w:lineRule="auto"/>
      </w:pPr>
      <w:r>
        <w:rPr>
          <w:rFonts w:ascii="Arial" w:hAnsi="Arial"/>
          <w:b/>
          <w:color w:val="0321D1"/>
          <w:sz w:val="30"/>
        </w:rPr>
        <w:t>Final leadership check</w:t>
      </w:r>
    </w:p>
    <w:p>
      <w:pPr>
        <w:spacing w:after="80" w:line="269" w:lineRule="auto"/>
      </w:pPr>
      <w:r>
        <w:rPr>
          <w:rFonts w:ascii="Arial" w:hAnsi="Arial"/>
          <w:b w:val="0"/>
          <w:color w:val="010D5A"/>
          <w:sz w:val="20"/>
        </w:rPr>
        <w:t>☐  The dashboard identifies a specific decision—not only a trend.</w:t>
      </w:r>
    </w:p>
    <w:p>
      <w:pPr>
        <w:spacing w:after="80" w:line="269" w:lineRule="auto"/>
      </w:pPr>
      <w:r>
        <w:rPr>
          <w:rFonts w:ascii="Arial" w:hAnsi="Arial"/>
          <w:b w:val="0"/>
          <w:color w:val="010D5A"/>
          <w:sz w:val="20"/>
        </w:rPr>
        <w:t>☐  The audience can see the relevant comparison and the likely drivers.</w:t>
      </w:r>
    </w:p>
    <w:p>
      <w:pPr>
        <w:spacing w:after="80" w:line="269" w:lineRule="auto"/>
      </w:pPr>
      <w:r>
        <w:rPr>
          <w:rFonts w:ascii="Arial" w:hAnsi="Arial"/>
          <w:b w:val="0"/>
          <w:color w:val="010D5A"/>
          <w:sz w:val="20"/>
        </w:rPr>
        <w:t>☐  Options show cost, impact and risk.</w:t>
      </w:r>
    </w:p>
    <w:p>
      <w:pPr>
        <w:spacing w:after="80" w:line="269" w:lineRule="auto"/>
      </w:pPr>
      <w:r>
        <w:rPr>
          <w:rFonts w:ascii="Arial" w:hAnsi="Arial"/>
          <w:b w:val="0"/>
          <w:color w:val="010D5A"/>
          <w:sz w:val="20"/>
        </w:rPr>
        <w:t>☐  A named owner accepts the action and review date.</w:t>
      </w:r>
    </w:p>
    <w:p>
      <w:pPr>
        <w:spacing w:after="80" w:line="269" w:lineRule="auto"/>
      </w:pPr>
      <w:r>
        <w:rPr>
          <w:rFonts w:ascii="Arial" w:hAnsi="Arial"/>
          <w:b/>
          <w:color w:val="0321D1"/>
          <w:sz w:val="28"/>
        </w:rPr>
        <w:t>SalaaamTabish perspective</w:t>
      </w:r>
    </w:p>
    <w:p>
      <w:pPr>
        <w:spacing w:after="0" w:line="269" w:lineRule="auto"/>
      </w:pPr>
      <w:r>
        <w:rPr>
          <w:rFonts w:ascii="Arial" w:hAnsi="Arial"/>
          <w:b/>
          <w:color w:val="010D5A"/>
          <w:sz w:val="22"/>
        </w:rPr>
        <w:t>Data creates evidence. Analytics creates understanding. Advisory turns understanding into action.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/>
        <w:b w:val="0"/>
        <w:color w:val="53628B"/>
        <w:sz w:val="16"/>
      </w:rPr>
      <w:t>© 2026 Tabish Ahmad  |  Developed for learning use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b/>
        <w:color w:val="0321D1"/>
        <w:sz w:val="16"/>
      </w:rPr>
      <w:t>SALAAMTABISH  |  KNOWLEDGE CIRCLE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