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line="276" w:lineRule="auto"/>
        <w:jc w:val="center"/>
      </w:pPr>
      <w:r>
        <w:rPr>
          <w:rFonts w:ascii="Arial" w:hAnsi="Arial"/>
          <w:b/>
          <w:color w:val="66D9FF"/>
          <w:sz w:val="22"/>
        </w:rPr>
        <w:t>SALAAMTABISH</w:t>
      </w:r>
    </w:p>
    <w:p>
      <w:pPr>
        <w:spacing w:after="120" w:line="276" w:lineRule="auto"/>
        <w:jc w:val="center"/>
      </w:pPr>
      <w:r>
        <w:rPr>
          <w:rFonts w:ascii="Arial" w:hAnsi="Arial"/>
          <w:b/>
          <w:color w:val="0321D1"/>
          <w:sz w:val="56"/>
        </w:rPr>
        <w:t>THE 4A CHANGE JOURNEY™</w:t>
      </w:r>
    </w:p>
    <w:p>
      <w:pPr>
        <w:spacing w:after="520" w:line="276" w:lineRule="auto"/>
        <w:jc w:val="center"/>
      </w:pPr>
      <w:r>
        <w:rPr>
          <w:rFonts w:ascii="Arial" w:hAnsi="Arial"/>
          <w:b w:val="0"/>
          <w:color w:val="53628B"/>
          <w:sz w:val="28"/>
        </w:rPr>
        <w:t>A practical guide from awareness to sustained advocacy</w:t>
      </w:r>
    </w:p>
    <w:p>
      <w:pPr>
        <w:spacing w:after="480" w:line="276" w:lineRule="auto"/>
      </w:pPr>
      <w:r>
        <w:rPr>
          <w:rFonts w:ascii="Arial" w:hAnsi="Arial"/>
          <w:b w:val="0"/>
          <w:color w:val="010D5A"/>
          <w:sz w:val="26"/>
        </w:rPr>
        <w:t>Change does not succeed when people merely hear about it. It succeeds when they understand it, believe in it, use it, and help others use it.</w:t>
      </w:r>
    </w:p>
    <w:p>
      <w:pPr>
        <w:spacing w:after="200" w:line="276" w:lineRule="auto"/>
      </w:pPr>
      <w:r>
        <w:rPr>
          <w:rFonts w:ascii="Arial" w:hAnsi="Arial"/>
          <w:b/>
          <w:color w:val="0321D1"/>
          <w:sz w:val="32"/>
        </w:rPr>
        <w:t>The framework at a glance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304"/>
            <w:shd w:fill="EEF3FE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color w:val="0321D1"/>
                <w:sz w:val="20"/>
              </w:rPr>
              <w:t>AWARENESS</w:t>
            </w:r>
          </w:p>
          <w:p>
            <w:pPr>
              <w:jc w:val="center"/>
            </w:pPr>
            <w:r>
              <w:rPr>
                <w:rFonts w:ascii="Arial" w:hAnsi="Arial"/>
                <w:b/>
                <w:color w:val="010D5A"/>
                <w:sz w:val="16"/>
              </w:rPr>
              <w:t>Why are we changing?</w:t>
            </w:r>
          </w:p>
          <w:p>
            <w:pPr>
              <w:jc w:val="center"/>
            </w:pPr>
            <w:r>
              <w:rPr>
                <w:rFonts w:ascii="Arial" w:hAnsi="Arial"/>
                <w:b w:val="0"/>
                <w:color w:val="53628B"/>
                <w:sz w:val="16"/>
              </w:rPr>
              <w:t>People understand the reason and direction.</w:t>
            </w:r>
          </w:p>
        </w:tc>
        <w:tc>
          <w:tcPr>
            <w:tcW w:type="dxa" w:w="2304"/>
            <w:shd w:fill="EEF3FE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color w:val="0321D1"/>
                <w:sz w:val="20"/>
              </w:rPr>
              <w:t>ACCEPTANCE</w:t>
            </w:r>
          </w:p>
          <w:p>
            <w:pPr>
              <w:jc w:val="center"/>
            </w:pPr>
            <w:r>
              <w:rPr>
                <w:rFonts w:ascii="Arial" w:hAnsi="Arial"/>
                <w:b/>
                <w:color w:val="010D5A"/>
                <w:sz w:val="16"/>
              </w:rPr>
              <w:t>What does this mean for me?</w:t>
            </w:r>
          </w:p>
          <w:p>
            <w:pPr>
              <w:jc w:val="center"/>
            </w:pPr>
            <w:r>
              <w:rPr>
                <w:rFonts w:ascii="Arial" w:hAnsi="Arial"/>
                <w:b w:val="0"/>
                <w:color w:val="53628B"/>
                <w:sz w:val="16"/>
              </w:rPr>
              <w:t>People believe the change is relevant and workable.</w:t>
            </w:r>
          </w:p>
        </w:tc>
        <w:tc>
          <w:tcPr>
            <w:tcW w:type="dxa" w:w="2304"/>
            <w:shd w:fill="EEF3FE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color w:val="0321D1"/>
                <w:sz w:val="20"/>
              </w:rPr>
              <w:t>ADOPTION</w:t>
            </w:r>
          </w:p>
          <w:p>
            <w:pPr>
              <w:jc w:val="center"/>
            </w:pPr>
            <w:r>
              <w:rPr>
                <w:rFonts w:ascii="Arial" w:hAnsi="Arial"/>
                <w:b/>
                <w:color w:val="010D5A"/>
                <w:sz w:val="16"/>
              </w:rPr>
              <w:t>What must I do differently?</w:t>
            </w:r>
          </w:p>
          <w:p>
            <w:pPr>
              <w:jc w:val="center"/>
            </w:pPr>
            <w:r>
              <w:rPr>
                <w:rFonts w:ascii="Arial" w:hAnsi="Arial"/>
                <w:b w:val="0"/>
                <w:color w:val="53628B"/>
                <w:sz w:val="16"/>
              </w:rPr>
              <w:t>People use the new behaviour, process or tool.</w:t>
            </w:r>
          </w:p>
        </w:tc>
        <w:tc>
          <w:tcPr>
            <w:tcW w:type="dxa" w:w="2304"/>
            <w:shd w:fill="EEF3FE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color w:val="0321D1"/>
                <w:sz w:val="20"/>
              </w:rPr>
              <w:t>ADVOCACY</w:t>
            </w:r>
          </w:p>
          <w:p>
            <w:pPr>
              <w:jc w:val="center"/>
            </w:pPr>
            <w:r>
              <w:rPr>
                <w:rFonts w:ascii="Arial" w:hAnsi="Arial"/>
                <w:b/>
                <w:color w:val="010D5A"/>
                <w:sz w:val="16"/>
              </w:rPr>
              <w:t>How can I help it succeed?</w:t>
            </w:r>
          </w:p>
          <w:p>
            <w:pPr>
              <w:jc w:val="center"/>
            </w:pPr>
            <w:r>
              <w:rPr>
                <w:rFonts w:ascii="Arial" w:hAnsi="Arial"/>
                <w:b w:val="0"/>
                <w:color w:val="53628B"/>
                <w:sz w:val="16"/>
              </w:rPr>
              <w:t>People reinforce the change and support others.</w:t>
            </w:r>
          </w:p>
        </w:tc>
      </w:tr>
    </w:tbl>
    <w:p>
      <w:pPr>
        <w:spacing w:after="240" w:line="276" w:lineRule="auto"/>
      </w:pPr>
      <w:r>
        <w:rPr>
          <w:rFonts w:ascii="Arial" w:hAnsi="Arial"/>
          <w:b/>
          <w:color w:val="0321D1"/>
          <w:sz w:val="32"/>
        </w:rPr>
        <w:t>How to apply the journey</w:t>
      </w:r>
    </w:p>
    <w:p>
      <w:pPr>
        <w:spacing w:after="60" w:line="276" w:lineRule="auto"/>
      </w:pPr>
      <w:r>
        <w:rPr>
          <w:rFonts w:ascii="Arial" w:hAnsi="Arial"/>
          <w:b/>
          <w:color w:val="010D5A"/>
          <w:sz w:val="26"/>
        </w:rPr>
        <w:t>1. Create awareness</w:t>
      </w:r>
    </w:p>
    <w:p>
      <w:pPr>
        <w:spacing w:after="180" w:line="276" w:lineRule="auto"/>
      </w:pPr>
      <w:r>
        <w:rPr>
          <w:rFonts w:ascii="Arial" w:hAnsi="Arial"/>
          <w:b w:val="0"/>
          <w:color w:val="010D5A"/>
          <w:sz w:val="20"/>
        </w:rPr>
        <w:t>Explain the business context, the reason for change, what will change and what will remain stable. Use clear, repeated messages—not a one-off announcement.</w:t>
      </w:r>
    </w:p>
    <w:p>
      <w:pPr>
        <w:spacing w:after="60" w:line="276" w:lineRule="auto"/>
      </w:pPr>
      <w:r>
        <w:rPr>
          <w:rFonts w:ascii="Arial" w:hAnsi="Arial"/>
          <w:b/>
          <w:color w:val="010D5A"/>
          <w:sz w:val="26"/>
        </w:rPr>
        <w:t>2. Earn acceptance</w:t>
      </w:r>
    </w:p>
    <w:p>
      <w:pPr>
        <w:spacing w:after="180" w:line="276" w:lineRule="auto"/>
      </w:pPr>
      <w:r>
        <w:rPr>
          <w:rFonts w:ascii="Arial" w:hAnsi="Arial"/>
          <w:b w:val="0"/>
          <w:color w:val="010D5A"/>
          <w:sz w:val="20"/>
        </w:rPr>
        <w:t>Invite questions, acknowledge trade-offs and show why the solution is credible. Managers need tailored messages for their teams.</w:t>
      </w:r>
    </w:p>
    <w:p>
      <w:pPr>
        <w:spacing w:after="60" w:line="276" w:lineRule="auto"/>
      </w:pPr>
      <w:r>
        <w:rPr>
          <w:rFonts w:ascii="Arial" w:hAnsi="Arial"/>
          <w:b/>
          <w:color w:val="010D5A"/>
          <w:sz w:val="26"/>
        </w:rPr>
        <w:t>3. Enable adoption</w:t>
      </w:r>
    </w:p>
    <w:p>
      <w:pPr>
        <w:spacing w:after="180" w:line="276" w:lineRule="auto"/>
      </w:pPr>
      <w:r>
        <w:rPr>
          <w:rFonts w:ascii="Arial" w:hAnsi="Arial"/>
          <w:b w:val="0"/>
          <w:color w:val="010D5A"/>
          <w:sz w:val="20"/>
        </w:rPr>
        <w:t>Turn intention into practical behaviour through training, tools, decision rights and visible manager support.</w:t>
      </w:r>
    </w:p>
    <w:p>
      <w:pPr>
        <w:spacing w:after="60" w:line="276" w:lineRule="auto"/>
      </w:pPr>
      <w:r>
        <w:rPr>
          <w:rFonts w:ascii="Arial" w:hAnsi="Arial"/>
          <w:b/>
          <w:color w:val="010D5A"/>
          <w:sz w:val="26"/>
        </w:rPr>
        <w:t>4. Build advocacy</w:t>
      </w:r>
    </w:p>
    <w:p>
      <w:pPr>
        <w:spacing w:after="180" w:line="276" w:lineRule="auto"/>
      </w:pPr>
      <w:r>
        <w:rPr>
          <w:rFonts w:ascii="Arial" w:hAnsi="Arial"/>
          <w:b w:val="0"/>
          <w:color w:val="010D5A"/>
          <w:sz w:val="20"/>
        </w:rPr>
        <w:t>Use early adopters, recognise helpful behaviours and capture feedback to strengthen the next wave of change.</w:t>
      </w:r>
    </w:p>
    <w:p>
      <w:pPr>
        <w:spacing w:after="200" w:line="276" w:lineRule="auto"/>
      </w:pPr>
      <w:r>
        <w:rPr>
          <w:rFonts w:ascii="Arial" w:hAnsi="Arial"/>
          <w:b/>
          <w:color w:val="0321D1"/>
          <w:sz w:val="32"/>
        </w:rPr>
        <w:t>Leadership review checklist</w:t>
      </w:r>
    </w:p>
    <w:p>
      <w:pPr>
        <w:spacing w:after="100" w:line="276" w:lineRule="auto"/>
      </w:pPr>
      <w:r>
        <w:rPr>
          <w:rFonts w:ascii="Arial" w:hAnsi="Arial"/>
          <w:b w:val="0"/>
          <w:color w:val="010D5A"/>
          <w:sz w:val="20"/>
        </w:rPr>
        <w:t>☐  Can employees explain why the change is necessary?</w:t>
      </w:r>
    </w:p>
    <w:p>
      <w:pPr>
        <w:spacing w:after="100" w:line="276" w:lineRule="auto"/>
      </w:pPr>
      <w:r>
        <w:rPr>
          <w:rFonts w:ascii="Arial" w:hAnsi="Arial"/>
          <w:b w:val="0"/>
          <w:color w:val="010D5A"/>
          <w:sz w:val="20"/>
        </w:rPr>
        <w:t>☐  Do managers have the confidence, tools and language to lead it?</w:t>
      </w:r>
    </w:p>
    <w:p>
      <w:pPr>
        <w:spacing w:after="100" w:line="276" w:lineRule="auto"/>
      </w:pPr>
      <w:r>
        <w:rPr>
          <w:rFonts w:ascii="Arial" w:hAnsi="Arial"/>
          <w:b w:val="0"/>
          <w:color w:val="010D5A"/>
          <w:sz w:val="20"/>
        </w:rPr>
        <w:t>☐  Have we identified friction points before the adoption stage?</w:t>
      </w:r>
    </w:p>
    <w:p>
      <w:pPr>
        <w:spacing w:after="100" w:line="276" w:lineRule="auto"/>
      </w:pPr>
      <w:r>
        <w:rPr>
          <w:rFonts w:ascii="Arial" w:hAnsi="Arial"/>
          <w:b w:val="0"/>
          <w:color w:val="010D5A"/>
          <w:sz w:val="20"/>
        </w:rPr>
        <w:t>☐  Are early adopters helping build advocacy?</w:t>
      </w:r>
    </w:p>
    <w:p>
      <w:pPr>
        <w:spacing w:after="100" w:line="276" w:lineRule="auto"/>
      </w:pPr>
      <w:r>
        <w:rPr>
          <w:rFonts w:ascii="Arial" w:hAnsi="Arial"/>
          <w:b w:val="0"/>
          <w:color w:val="010D5A"/>
          <w:sz w:val="20"/>
        </w:rPr>
        <w:t>☐  Do we have feedback measures beyond attendance and communication reach?</w:t>
      </w:r>
    </w:p>
    <w:p>
      <w:pPr>
        <w:spacing w:after="160" w:line="276" w:lineRule="auto"/>
      </w:pPr>
      <w:r>
        <w:rPr>
          <w:rFonts w:ascii="Arial" w:hAnsi="Arial"/>
          <w:b/>
          <w:color w:val="0321D1"/>
          <w:sz w:val="32"/>
        </w:rPr>
        <w:t>A SalaaamTabish perspective</w:t>
      </w:r>
    </w:p>
    <w:p>
      <w:pPr>
        <w:spacing w:after="160" w:line="276" w:lineRule="auto"/>
      </w:pPr>
      <w:r>
        <w:rPr>
          <w:rFonts w:ascii="Arial" w:hAnsi="Arial"/>
          <w:b/>
          <w:color w:val="010D5A"/>
          <w:sz w:val="24"/>
        </w:rPr>
        <w:t>Awareness informs people. Acceptance earns belief. Adoption changes behaviour. Advocacy sustains change.</w:t>
      </w:r>
    </w:p>
    <w:p>
      <w:pPr>
        <w:spacing w:after="0" w:line="276" w:lineRule="auto"/>
      </w:pPr>
      <w:r>
        <w:rPr>
          <w:rFonts w:ascii="Arial" w:hAnsi="Arial"/>
          <w:b w:val="0"/>
          <w:color w:val="53628B"/>
          <w:sz w:val="18"/>
        </w:rPr>
        <w:t>This learning guide shares the framework openly. Detailed implementation playbooks, change diagnostics and client-specific tools remain protected.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color w:val="53628B"/>
        <w:sz w:val="16"/>
      </w:rPr>
      <w:t>© 2026 Tabish Ahmad  |  Developed for learning use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b/>
        <w:color w:val="0321D1"/>
        <w:sz w:val="16"/>
      </w:rPr>
      <w:t>SALAAMTABISH  |  KNOWLEDGE CIRCLE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